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附件</w:t>
      </w:r>
      <w:r w:rsidRPr="002A5D4B">
        <w:rPr>
          <w:rFonts w:ascii="宋体" w:eastAsia="宋体" w:hAnsi="宋体"/>
          <w:sz w:val="24"/>
          <w:szCs w:val="24"/>
        </w:rPr>
        <w:t>1</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银行业金融机构“违法、违规、违章”行为</w:t>
      </w:r>
      <w:bookmarkStart w:id="0" w:name="_GoBack"/>
      <w:bookmarkEnd w:id="0"/>
      <w:r w:rsidRPr="002A5D4B">
        <w:rPr>
          <w:rFonts w:ascii="宋体" w:eastAsia="宋体" w:hAnsi="宋体" w:hint="eastAsia"/>
          <w:sz w:val="24"/>
          <w:szCs w:val="24"/>
        </w:rPr>
        <w:t>专项治理工作要点</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 xml:space="preserve"> </w:t>
      </w:r>
      <w:r w:rsidRPr="002A5D4B">
        <w:rPr>
          <w:rFonts w:ascii="宋体" w:eastAsia="宋体" w:hAnsi="宋体" w:hint="eastAsia"/>
          <w:sz w:val="24"/>
          <w:szCs w:val="24"/>
        </w:rPr>
        <w:t>一、制度建设</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全面梳理各项内部制度，排查制度与监管法律、法规、规章和指导性文件等监管规定的对接情况，审视内部制度的全面性、完善性、合规性。根据业务和风险的新变化、新现象、新特征，梳理各类规章制度，填补制度空白，更新已滞后于业务和发展的规则。要点如下：</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（一）是否建立健全内部制度体系，对各项业务活动和管理活动制定全面、系统、规范的业务制度和管理制度，重要制度是否缺失。</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（二）是否建立制度评价和完善机制，及时根据监管法律，规则和准则的变化情况，修订内部政策制度。</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（三）内部制度是否充分体现各项监管要求，特别是信贷、同业、理财等业务方面的“三个办法、一个指引”、《关于规范金融机构同业业务的通知》（银发〔</w:t>
      </w:r>
      <w:r w:rsidRPr="002A5D4B">
        <w:rPr>
          <w:rFonts w:ascii="宋体" w:eastAsia="宋体" w:hAnsi="宋体"/>
          <w:sz w:val="24"/>
          <w:szCs w:val="24"/>
        </w:rPr>
        <w:t>2014〕127号）、《关于规范商业银行同业业务治理的通知》（银监办发〔2O14〕140号）、《关于规范商业银行理财业务投资运作有关问题的通知》（银监发〔2013〕8号）等重要监管规定，公司治理、内部控制、合规管理、风险管理、资本管理等方面的《商业银行公司治理指引》（银监发〔2013〕34号）、《商业银行内部控制指引》（银监发〔2014〕40号）、《商业银行合规风险管理</w:t>
      </w:r>
      <w:r w:rsidRPr="002A5D4B">
        <w:rPr>
          <w:rFonts w:ascii="宋体" w:eastAsia="宋体" w:hAnsi="宋体" w:hint="eastAsia"/>
          <w:sz w:val="24"/>
          <w:szCs w:val="24"/>
        </w:rPr>
        <w:t>指引》（银监发〔</w:t>
      </w:r>
      <w:r w:rsidRPr="002A5D4B">
        <w:rPr>
          <w:rFonts w:ascii="宋体" w:eastAsia="宋体" w:hAnsi="宋体"/>
          <w:sz w:val="24"/>
          <w:szCs w:val="24"/>
        </w:rPr>
        <w:t>2006〕76号）、《银行业金融机构全面风险管理指引》（银监发〔2016〕44号）、《商业银行资本管理办法（试行）》（中国银监会令2012年第l号）等重要监管规定，服务收费、小微金融支持等政策方面的《商业银行服务价格管理办法》（中国银监会、国家发改委令2014年第l号）、《关于进一步落实小微企业金融服务监管政策的通知》（银监发〔2015〕38号）等重要监管要求，是否均在内部制度中予以体现。</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（四）内部制度是否与监管规定相冲突或存在规定空白，内部制度规定是否绕道监管或逃避监管，选择性理解或曲解监管要求等。</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二、合规管理</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重点评估合规文化的塑造，合规意识与经营战略和风险偏好的结合，合规管理体系的建立和运行、合规行为激励等。要点如下：</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lastRenderedPageBreak/>
        <w:t>（一）是否建立合规文化，确立合规意识，并将发展战略、风险偏好与合规理念有机结合。</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（二）全体员工是否树立合规意识，特别是高管人员、关键岗位人员的合规意识是否到位。</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（三）是否建立内部监督检查机制，“三道防线”尤其是法律合规、内部审计等部门在合规管理、整治“三违反”方面是否有效发挥作用。</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（四）绩效考核是否充分体现合规因素，是否将监管处罚、监管发现问题、监管要求落实情况纳入绩效考核的范围。</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（五）是否建立了有效的合规问责制度，严格对违规行为及有关人员进行责任认定与追究。是否存在问下不问上、以罚款代替纪律处分情况。</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（六）是否建立有效案件防控机制，对案件线索或风险苗头能否及时发现并处理，对内外勾结骗贷、员工盗取客户资金等违法案件是否及时移送司法机关。</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（七）是否制定了员工行为规范的相关制度，明确对员工的禁止性规定。</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（八）是否加强对员工行为的监督和排查，建立员工异常行为举报、查处机制。</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（九）对员工的合规培训是否到位等。</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三、风险管理</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重点评估全面风险管理体系的建立和运行情况，特别是流动性风险管理情况。要点如下：</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（一）是否建立全面风险管理体系，及时识别、计量、评估、监测、报告和控制或缓释信用风险、市场风险、流动性风险、操作风险、国别风险、银行账户利率风险等各类风险。</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（二）全面风险管理治理结构是否完善，组织架构是否健全，董事会、监事会、高管层、业务部门、风险管理部门和内审部门在风险管理中的职责分工是否明确，运行是否顺畅。</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（三）是否制定清晰的风险管理策略、风险偏好并定期进行评估调整，是否设定风险限额并监控限额情况。</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（四）风险管理政策和程序是否完善，覆盖面是否完整，是否根据风险偏好和风险状况及时评估资本和流动性的充足情况。</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lastRenderedPageBreak/>
        <w:t>（五）是否制定应急计划特别是流动性应急计划，确保能及时应对和处理紧急或危机情况，是否定期更新、演练或测试应急计划。</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（六）是否针对各类风险建立明确的内部评价考核机制，将各分支机构或主要业务条线形成的风险与其收益挂钩。</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（七）是否将全面风险管理纳入内部审计范畴，定期审查和评价全面风险管理体系的充分性和有效性。</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四、流程及系统控制</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重点评估管理及业务流程对“三违反”行为的约束力，信息系统对业务管理的支撑和各类风险的刚性控制。要点如下：</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（一）是否准确识别各项业务活动、管理活动的合规点及风险点，并采取适当的控制措施。</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（二）各项监管规定及内控要求是否嵌入信息系统，通过系统刚性控制实现对业务及管理活动的有效制约。</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（三）信息系统能否贯穿各级机构、覆盖各个业务领域，实现经营管理的信息化。</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（四）信息系统能否有效实现对关键风险事项、重点控制环节的风险控制。</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（五）信息系统能否为管理提供有力支撑，能否及时、准确提供经营管理所需要的各种数据。</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（六）管理信息系统能否提供有效技术支撑，实现准确、及时、持续地计量、监测、管控和汇总各类风险状况。</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五、“三违反”突出领域</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重点评估乱设机构、乱办业务，不当利益输送，信贷、票据、同业、理财、信用卡等重点业务领域的风险突出环节，及信息披露不合规、重大经营管理信息隐瞒不报等问题，以检查业务的方式倒查内部制度和合规管理存在的问题。要点如下：</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（一）乱办业务、乱设机构行为</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1.是否未经批准设立分支机构，或违反规定从事未经批准或者未备案的业务活动。</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2.创新业务是否做到制度先行，是否制定完善的规章制度和业务流程。</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lastRenderedPageBreak/>
        <w:t>3.创新业务的规章、制度、流程等是否符合法律法规要求，能否覆盖业务的全过程及风险点。</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4.人力资源和专业能力是否与创新业务的要求相匹配。</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5.是否针对创新业务建立风险管理机制，是否恰当地评估和计量业务风险等。</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（二）不当利益输送行为</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1.商业银行是否违规向关系人发放信用贷款。</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2.商业银行是否接受关系人以本行的股权作为质押并提供授信。</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3.商业银行向关系人发放担保贷款的条件是否优于其他借款人同类贷款的条件。</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4.商业银行是否违规为关联方的融资行为提供担保（关联方以银行存单、国债提供足额反担保的除外）。</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5.商业银行的工作人员是否利用职务上的便利索取、收受贿赂或者违反国家规定收受各种名义的回扣、手续费。</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6.商业银行的工作人员是否利用职务上的便利贪污、挪用、侵占本行或者客户资金，包括内外勾结骗取银行信贷资金，或员工盗取银行内部及客户资金等。</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7.员工是否参与民间借贷、非法集资、充当资金掮客、过桥融资、为他人提供担保、经商办企业等。</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8.员工是否违规查询、泄露、倒卖客户信息。</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9.员工是否违规私售飞单和代理销售，误导或诱导客户购买投资产品等。</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（三）信贷业务</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1.是否建立完整、系统的内控制度和业务操作流程。</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2.信贷资金是否被挪作他用。</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3.信贷资金是否违规流入股市、期市。</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4.信贷资金是否直接参与房地产炒作，是否在房地产开发贷款和按揭贷款中虚假、违规操作，包括一是违规为房地产开发企业发放贷款用于支付土地出让金；二是违规为四证不全、资本金比例不到位项目发放房地产开发贷款：三是未严格实行房地产开发贷款封闭式管理规定导致贷款挪作他用；四是违规绕道、借道通过发放流动资金贷款、经营性物业贷款等为房地产开发企业提供融资；五是违规发放“首付贷”，违规融资给第三方用于支付首付贷、尾款，违规发放个人贷款</w:t>
      </w:r>
      <w:r w:rsidRPr="002A5D4B">
        <w:rPr>
          <w:rFonts w:ascii="宋体" w:eastAsia="宋体" w:hAnsi="宋体"/>
          <w:sz w:val="24"/>
          <w:szCs w:val="24"/>
        </w:rPr>
        <w:lastRenderedPageBreak/>
        <w:t>用于购买住房；六是违规向未封顶楼盘发放个人住房按揭贷款，违规发放虚假个人住房按揭贷款，违规向</w:t>
      </w:r>
      <w:r w:rsidRPr="002A5D4B">
        <w:rPr>
          <w:rFonts w:ascii="宋体" w:eastAsia="宋体" w:hAnsi="宋体" w:hint="eastAsia"/>
          <w:sz w:val="24"/>
          <w:szCs w:val="24"/>
        </w:rPr>
        <w:t>“零首付”购房人发放住房按揭贷款。</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5.是否违规为地方政府提供债务融资。</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6.贷款三查是否严重不尽职，导致客户利用虚假证件、虚假报表、虚假凭证、虚假流水、虚假税票等虚假材料套取、骗取银行贷款资金。</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7.是否违规与贷款中介合作办理授信业务；违规与小额贷款公司、担保公司、典当行等机构合作办理业务；外包人员违规参与办理授信业务：是否违规外包贷前尽职调查和贷后管理等核心业务。</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8.是否违规办理抵质押担保，未尽职审查发现借款人提供虚假抵质押物，未尽职审查发现借款人对抵质押物办理重复抵质押、私自解押，未尽职审查发现担保人担保能力造假或超担保能力提供担保。</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9.是否违规办理借壳贷款、假冒名贷款、借名贷款。</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10.是否违规为无真实应收账款借欺人办理虚假国内保理、违规发放流动资金贷款用于固定资产项目建设或用于股权投资等其他“三违反”行为。</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11.是否违规通过人为调整分类等手段调节不良贷款。</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12.是否违规处置、核销不良贷款，包括违规通过“搭桥”等手段藏匿不良贷款，违规通过相互代持、安排显性或隐性回购条款转移至表外等方式转移不良贷款等。</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（四）票据业务</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1.是否建立完整、系统的内控制度和业务操作流程。</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2.是否违规办理无真实贸易背景银行承兑汇票业务。</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3.是否利用承兑汇票业务虚增存贷款规模，包括违规将贷款和贴现资金转存保证金，虚增存款；滚动签发银行承兑汇票，以票吸存，虚增资产负债规模。</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4.是否以贴现资金还旧借新，掩盖信用风险。</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5.是否违规与“票据中介”、“资金掮客”合作开展票据业务或票据交易；违规委托中介机构办理票据业务；违规异地办理票据业务；违规将公章、印鉴、同业账户等出租、出借。</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6.是否未按规定对票据实物进行查账、查库，是否账实不符；票据转贴现业务到期后是否未按规定先办资金结算后办票据提取。</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lastRenderedPageBreak/>
        <w:t>7.同业票据转入行是否违规将票据交易资金划转至票据转出行在他行开立的账户。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8.是否通过票据转贴现业务转移规模，消减资本占用，利用“卖断＋买入返售＋到期买断”、“假买断、假卖断”、附回购承诺等交易模式，假卖断真出表，或帮助他行在月底代持，调节信贷规模。</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9.是否将票据资产转为资管计划，以投资代替贴现，随意调节会计报表并减少资本计提。</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（五）同业业务和理财业务</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1.同业业务治理体系是否完善，是否有效落实专营部门制，授权管理体系是否健全，信息系统能否提供有效支撑。</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2.理财业务组织管理体系是否完善，是否设立专门的理财业务部门，归口管理是否落实到位。</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3.是否违规与名单外金融机构、非持牌金融机构开展业务；是否未经总行审批违规代理代销产品募集资金进行投资。</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4.同业投资和理财投资非标资产是否严格比照自营贷款管理，对底层基础资产的投前调查是否尽职，投后管理是否到位，资金是否违规投向房地产以及国家法律、政策规定的限制性行业和领域。</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5.同业投资和理财投资业务是否接受和提供第三方担保及“兜底”承诺，违规签订“抽屉协议”“阴阳合同”等。</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6.是否严格执行风险隔离制度，是否通过发放自营贷款承接存在偿还风险的同业投资和理财投资业务；本行信贷资金是否违规为理财产品提供融资和担保；是否违规通过本行理财资金直接或间接对接本行信贷资产收益权；理财资金是否违规用于本行自营业务。</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7.是否违规开展债券、票据、资管计划代持业务。</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8.是否违规发行和销售“三无”理财产品（无真实投资、无测算依据、无充分信息披露）；是否强制搭售理财产品；是否未经内部审批授权私售理财产品等。</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（六）信用卡业务</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1.是否建立健全信用卡业务内部控制、授权管理和风险管理体系、组织、制度、流程和岗位，明确分工和相关职责。</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lastRenderedPageBreak/>
        <w:t>2.是否未严格执行办理信用卡“三亲见”要求，导致假冒名、借名办理信用卡；</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3.信用卡授信额度核定是否审慎，是否为提供虚假财力证明或无相应还款能力的持卡人提供高额授信并形成不良；</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4.是否违规配合信用卡客户通过集中在某一特约商户刷卡、消费分期等套现；是否未对持卡人异常交易行为进行监控，导致大额套现引发风险：</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5.是否违规办理信用卡透支用于购房等投资性领域或生产经营领域；是否违规批量办卡归集资金流入股市、房市等。</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（七）信息披露问题</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1.是否按监管要求建立信息披露制度。</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2.是否遵循真实性、准确性、完整性和及时性原则，规范披露信息。</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3.披露内容是否充分涵盖财务会计报告、各类风险管理状况、公司治理、年度重大事项等重要信息。</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4.是否按照《银行业金融机构董事（理事）和高级管理人员任职资格管理办法》第三十一、三十三、三十四、三十五条的规定，向监管机构报告有关情况。</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5.董事长（理事长）、行长（总经理、主任）及分支机构行长（总经理、主任）缺位时，金融机构指定相关人员代为履职时，是否在指定之后三日内向监管机构报告。</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6.高管人员是否未经监管部门任职资格核准即履职。</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7.是否及时向监管部门报告控股股东或实际控制人发生变更情况。</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8.是否按照《重大突发事件报告制度》的规定，及时向监管部门报告严重影响金融秩序和社会稳定、严重影响正常经营和提供正常金融服务以及严重损害银行和客户利益等重大突发事件。</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9.是否按规定向监管报送案件（风险）信息等。</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六、整改问责落实情况</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重点评估整改问责机制建立情况，对近两年由机构内部检查、外部审计评估及国家有关部门检查发现并指出的各类“三违反”行为，是否严格落实责任追究。要点如下：</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（一）是否建立整改问责机制。</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lastRenderedPageBreak/>
        <w:t>（二）对</w:t>
      </w:r>
      <w:r w:rsidRPr="002A5D4B">
        <w:rPr>
          <w:rFonts w:ascii="宋体" w:eastAsia="宋体" w:hAnsi="宋体"/>
          <w:sz w:val="24"/>
          <w:szCs w:val="24"/>
        </w:rPr>
        <w:t>2015年以来机构内部检查、外部审计评估及国家有关部门检查发现的问题，是否建立整改台账，明确责任部门及责任人员，切实有效落实整改。</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（三）对暴露的违规问题，能否采取有效的纠正措施，及时改进经营管理流程，修订相关政策、程序和操作要求。</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（四）问责是否准确区分不同人员责任，问责是否到位。</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（五）是否存在问下不问上、以罚款代替纪律处分等。</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hint="eastAsia"/>
          <w:sz w:val="24"/>
          <w:szCs w:val="24"/>
        </w:rPr>
        <w:t>七、检查依据</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l.《中华人民共和国商业银行法》：</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2.《中华人民共和国银行业监奋管理法》；</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3.《中华人民共和国担保法》：</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4.《中华人民共和国票据法》；</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5.《中华人民共和国会计法》；</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6.《金融企业会计制度》：</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7.《商业银行与内部人和股东关联交易管理办法》（中国银监会令2004年第3号）;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8.《固定资产贷款管理哲行办法》（中国银监会令2009年第2号);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9.《流动资金贷款管理节行办法》（中国银监会令2010年第1号);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10.《个人贷款管理哲行办法》（中国银监会令2010年第2号）;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11.《商业银行信用卡业务监督管理办法》（中国银监会令2011年第2号）;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12.《银行业金融机构董事（理事）和高级管理人员任职资格管理办法》（中国银监会令2013年第3号）;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13.《商业银行资本管理办法（试行）》（中国银监会令2012年第1号）;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14.《商业银行服务价格管理办法》（中国银监会、国家发展改革委令2014年第1号）;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15.《商业银行公司治理指引》（银监发〔2013〕34号）;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16.《商业银行内部控制指引》（银监发〔2014〕40号）;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17.《贷款风险分类指引》（银监发〔2007〕54号）: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18.《关于规范商业银行理财业务投资运作有关问题的通知》（银监发〔2013〕8号）;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lastRenderedPageBreak/>
        <w:t>19.《关于完善银行理时业务组织管理体系有关事项的通知》（银监发〔2014〕35号）;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20.《关于规范金融机构同业业务的通知》（银发〔2014〕127号）;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21.《关于规范商业银行同业业务治理的通知》（银监办发〔2014〕140号）;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22.《关于规范信贷资产转让及信贷资产类理财业务有关事项的通知》（银监发〔2009〕113号）;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23.《关于进一步规范银行业金融机构信贷资产转让业务的通知》（银监发〔2010〕102号）: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24.《关于规范银行业金融机构信贷资产收益权转让业务的通知》（银监办发〔2016〕82号）;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25.《关于进一步加强银行业务和员工行为管理的通知》（银监办发（2014〕57号）: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26.《关于票据业务风险提示的通知》（银监办发〔2015〕203号）;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27.《银行业金融机构全面风险管理指引》（银监发〔2016〕44号）;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28.《关于进一步落实小微企业金融服务监管政策的通知》（银监发〔2015〕38号）。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29.《重大突发事件报告制度》（银监办发〔2005〕54号）;</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 xml:space="preserve"> </w:t>
      </w:r>
    </w:p>
    <w:p w:rsidR="009D25AF" w:rsidRPr="002A5D4B" w:rsidRDefault="009D25AF" w:rsidP="009D25AF">
      <w:pPr>
        <w:spacing w:line="360" w:lineRule="auto"/>
        <w:ind w:firstLineChars="200" w:firstLine="480"/>
        <w:rPr>
          <w:rFonts w:ascii="宋体" w:eastAsia="宋体" w:hAnsi="宋体"/>
          <w:sz w:val="24"/>
          <w:szCs w:val="24"/>
        </w:rPr>
      </w:pPr>
      <w:r w:rsidRPr="002A5D4B">
        <w:rPr>
          <w:rFonts w:ascii="宋体" w:eastAsia="宋体" w:hAnsi="宋体"/>
          <w:sz w:val="24"/>
          <w:szCs w:val="24"/>
        </w:rPr>
        <w:t>30.其他涉及的法律法规和规范性文件。</w:t>
      </w:r>
    </w:p>
    <w:p w:rsidR="00AC0F04" w:rsidRPr="009D25AF" w:rsidRDefault="00AC0F04"/>
    <w:sectPr w:rsidR="00AC0F04" w:rsidRPr="009D25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5AF"/>
    <w:rsid w:val="009D25AF"/>
    <w:rsid w:val="00AC0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BFE3"/>
  <w15:chartTrackingRefBased/>
  <w15:docId w15:val="{9114CDF8-9150-4A84-AEF1-0DAF7DD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25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964</Words>
  <Characters>5501</Characters>
  <Application>Microsoft Office Word</Application>
  <DocSecurity>0</DocSecurity>
  <Lines>45</Lines>
  <Paragraphs>12</Paragraphs>
  <ScaleCrop>false</ScaleCrop>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2017-07-27T08:16:00Z</dcterms:created>
  <dcterms:modified xsi:type="dcterms:W3CDTF">2017-07-27T08:18:00Z</dcterms:modified>
</cp:coreProperties>
</file>